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463"/>
        <w:gridCol w:w="1561"/>
        <w:gridCol w:w="2143"/>
      </w:tblGrid>
      <w:tr w:rsidR="00125FB5" w14:paraId="52579897" w14:textId="77777777" w:rsidTr="00163D74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93" w14:textId="77777777" w:rsidR="00125FB5" w:rsidRPr="00427491" w:rsidRDefault="00125FB5" w:rsidP="00163D74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1D6CB639" wp14:editId="6E975E94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BBF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509C0021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0BBDC1A4" w14:textId="77777777" w:rsidR="00125FB5" w:rsidRPr="00146F39" w:rsidRDefault="00301003" w:rsidP="00163D74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TEK DERS SINAV BAŞVURU</w:t>
            </w:r>
            <w:r w:rsidR="00125FB5">
              <w:rPr>
                <w:rFonts w:eastAsia="Candara"/>
                <w:b/>
                <w:bCs/>
                <w:spacing w:val="-1"/>
              </w:rPr>
              <w:t xml:space="preserve"> FORMU</w:t>
            </w:r>
          </w:p>
          <w:p w14:paraId="09BA6748" w14:textId="77777777" w:rsidR="00125FB5" w:rsidRPr="00427491" w:rsidRDefault="00125FB5" w:rsidP="00163D7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932" w14:textId="77777777" w:rsidR="00125FB5" w:rsidRDefault="00125FB5" w:rsidP="00163D74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2B" w14:textId="77777777" w:rsidR="00125FB5" w:rsidRDefault="00125FB5" w:rsidP="00163D74">
            <w:pPr>
              <w:jc w:val="both"/>
            </w:pPr>
            <w:r>
              <w:t>ARÜ.ÖİDB.FR.00</w:t>
            </w:r>
            <w:r w:rsidR="00301003">
              <w:t>5</w:t>
            </w:r>
          </w:p>
        </w:tc>
      </w:tr>
      <w:tr w:rsidR="00125FB5" w14:paraId="63281A89" w14:textId="77777777" w:rsidTr="00163D74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D00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F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441" w14:textId="77777777" w:rsidR="00125FB5" w:rsidRDefault="00125FB5" w:rsidP="00163D74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40" w14:textId="77777777" w:rsidR="00125FB5" w:rsidRDefault="00125FB5" w:rsidP="00163D74">
            <w:pPr>
              <w:jc w:val="both"/>
            </w:pPr>
            <w:r>
              <w:t>10.12.2025</w:t>
            </w:r>
          </w:p>
        </w:tc>
      </w:tr>
      <w:tr w:rsidR="00125FB5" w14:paraId="4203A076" w14:textId="77777777" w:rsidTr="00163D74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7F5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D8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C04" w14:textId="77777777" w:rsidR="00125FB5" w:rsidRDefault="00125FB5" w:rsidP="00163D74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68" w14:textId="77777777" w:rsidR="00125FB5" w:rsidRDefault="00125FB5" w:rsidP="00163D74">
            <w:pPr>
              <w:jc w:val="both"/>
            </w:pPr>
            <w:r>
              <w:t>-</w:t>
            </w:r>
          </w:p>
        </w:tc>
      </w:tr>
      <w:tr w:rsidR="00125FB5" w14:paraId="2E009B6C" w14:textId="77777777" w:rsidTr="00163D74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501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B7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BE" w14:textId="77777777" w:rsidR="00125FB5" w:rsidRDefault="00125FB5" w:rsidP="00163D74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CE" w14:textId="77777777" w:rsidR="00125FB5" w:rsidRDefault="00125FB5" w:rsidP="00163D74">
            <w:pPr>
              <w:jc w:val="both"/>
            </w:pPr>
            <w:r>
              <w:t>0</w:t>
            </w:r>
          </w:p>
        </w:tc>
      </w:tr>
      <w:tr w:rsidR="00125FB5" w14:paraId="6F49FBF7" w14:textId="77777777" w:rsidTr="00163D74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42D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94C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87A" w14:textId="77777777" w:rsidR="00125FB5" w:rsidRDefault="00125FB5" w:rsidP="00163D74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80" w14:textId="77777777" w:rsidR="00125FB5" w:rsidRDefault="00125FB5" w:rsidP="00163D74">
            <w:pPr>
              <w:jc w:val="both"/>
            </w:pPr>
            <w:r>
              <w:t>1/1</w:t>
            </w:r>
          </w:p>
        </w:tc>
        <w:bookmarkEnd w:id="0"/>
      </w:tr>
    </w:tbl>
    <w:p w14:paraId="0454254D" w14:textId="77777777" w:rsidR="000E7FA3" w:rsidRDefault="000E7FA3" w:rsidP="007E7BD3">
      <w:pPr>
        <w:ind w:left="432"/>
        <w:jc w:val="center"/>
        <w:rPr>
          <w:b/>
        </w:rPr>
      </w:pPr>
    </w:p>
    <w:p w14:paraId="2B27A41C" w14:textId="77777777" w:rsidR="00B94B4F" w:rsidRDefault="00B94B4F" w:rsidP="007E7BD3">
      <w:pPr>
        <w:ind w:left="432"/>
        <w:jc w:val="center"/>
        <w:rPr>
          <w:b/>
        </w:rPr>
      </w:pPr>
    </w:p>
    <w:p w14:paraId="2ACF954C" w14:textId="77777777" w:rsidR="00B94B4F" w:rsidRDefault="00B94B4F" w:rsidP="007E7BD3">
      <w:pPr>
        <w:ind w:left="432"/>
        <w:jc w:val="center"/>
        <w:rPr>
          <w:b/>
        </w:rPr>
      </w:pPr>
    </w:p>
    <w:p w14:paraId="789F5741" w14:textId="77777777" w:rsidR="00125FB5" w:rsidRDefault="00125FB5" w:rsidP="007E7BD3">
      <w:pPr>
        <w:ind w:left="432"/>
        <w:jc w:val="center"/>
        <w:rPr>
          <w:b/>
        </w:rPr>
      </w:pPr>
    </w:p>
    <w:p w14:paraId="2EBBE963" w14:textId="3407A855" w:rsidR="00BD5BF3" w:rsidRDefault="00D77212" w:rsidP="00BD5BF3">
      <w:pPr>
        <w:pStyle w:val="GvdeMetni"/>
        <w:spacing w:line="360" w:lineRule="auto"/>
        <w:ind w:firstLine="432"/>
        <w:jc w:val="both"/>
      </w:pPr>
      <w:r>
        <w:t>Posof Meslek Yü</w:t>
      </w:r>
      <w:r w:rsidR="00301003">
        <w:t>ksekokulu</w:t>
      </w:r>
      <w:r>
        <w:t xml:space="preserve"> </w:t>
      </w:r>
      <w:proofErr w:type="gramStart"/>
      <w:r w:rsidR="000E7FA3">
        <w:rPr>
          <w:bCs/>
        </w:rPr>
        <w:t>..................................</w:t>
      </w:r>
      <w:proofErr w:type="gramEnd"/>
      <w:r w:rsidR="00E57E1F">
        <w:rPr>
          <w:bCs/>
        </w:rPr>
        <w:t xml:space="preserve"> </w:t>
      </w:r>
      <w:r w:rsidR="000E7FA3">
        <w:t xml:space="preserve">Bölümü </w:t>
      </w:r>
      <w:proofErr w:type="gramStart"/>
      <w:r w:rsidR="000E7FA3">
        <w:t>......</w:t>
      </w:r>
      <w:r w:rsidR="000E7FA3">
        <w:rPr>
          <w:bCs/>
        </w:rPr>
        <w:t>........</w:t>
      </w:r>
      <w:r w:rsidR="00B94B4F">
        <w:rPr>
          <w:bCs/>
        </w:rPr>
        <w:t>……</w:t>
      </w:r>
      <w:proofErr w:type="gramEnd"/>
      <w:r w:rsidR="000E7FA3">
        <w:t xml:space="preserve"> </w:t>
      </w:r>
      <w:r w:rsidR="007E7BD3">
        <w:t xml:space="preserve">öğrenci </w:t>
      </w:r>
      <w:r w:rsidR="000E7FA3">
        <w:t xml:space="preserve">numaralı </w:t>
      </w:r>
      <w:proofErr w:type="gramStart"/>
      <w:r w:rsidR="007E7BD3">
        <w:t>……………</w:t>
      </w:r>
      <w:r w:rsidR="000E7FA3">
        <w:t>…</w:t>
      </w:r>
      <w:proofErr w:type="gramEnd"/>
      <w:r w:rsidR="000E7FA3">
        <w:t xml:space="preserve"> </w:t>
      </w:r>
      <w:proofErr w:type="gramStart"/>
      <w:r w:rsidR="000E7FA3">
        <w:t>sınıf</w:t>
      </w:r>
      <w:proofErr w:type="gramEnd"/>
      <w:r w:rsidR="000E7FA3">
        <w:t xml:space="preserve"> öğrencisiyim. .................. kodlu ...........................................  </w:t>
      </w:r>
      <w:proofErr w:type="gramStart"/>
      <w:r w:rsidR="000E7FA3">
        <w:t>dersinden</w:t>
      </w:r>
      <w:proofErr w:type="gramEnd"/>
      <w:r w:rsidR="000E7FA3">
        <w:t xml:space="preserve"> </w:t>
      </w:r>
      <w:r w:rsidR="000E7FA3" w:rsidRPr="00385D35">
        <w:t>tek ders sınavına</w:t>
      </w:r>
      <w:r w:rsidR="000E7FA3">
        <w:t xml:space="preserve"> girmek istiyorum.</w:t>
      </w:r>
      <w:r w:rsidR="00B94B4F">
        <w:t xml:space="preserve"> </w:t>
      </w:r>
    </w:p>
    <w:p w14:paraId="13E33FDE" w14:textId="3EF3EC45" w:rsidR="000E7FA3" w:rsidRPr="008678AE" w:rsidRDefault="00B94B4F" w:rsidP="00BD5BF3">
      <w:pPr>
        <w:pStyle w:val="GvdeMetni"/>
        <w:spacing w:line="360" w:lineRule="auto"/>
        <w:ind w:firstLine="432"/>
        <w:jc w:val="both"/>
      </w:pPr>
      <w:r>
        <w:t>Gereğini bilgilerinize arz ederim.</w:t>
      </w:r>
    </w:p>
    <w:p w14:paraId="1015E6D1" w14:textId="77777777" w:rsidR="00B94B4F" w:rsidRPr="003F588F" w:rsidRDefault="00B94B4F" w:rsidP="00B94B4F">
      <w:pPr>
        <w:ind w:left="432"/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14:paraId="33449820" w14:textId="0EDF9FF1" w:rsidR="00B94B4F" w:rsidRPr="003F588F" w:rsidRDefault="00B94B4F" w:rsidP="00B94B4F">
      <w:pPr>
        <w:ind w:left="4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8CBFF1" w14:textId="77777777" w:rsidR="00B94B4F" w:rsidRPr="00FC1078" w:rsidRDefault="00B94B4F" w:rsidP="00B94B4F">
      <w:pPr>
        <w:ind w:left="432"/>
        <w:jc w:val="both"/>
      </w:pPr>
      <w:r>
        <w:tab/>
      </w:r>
      <w:r w:rsidRPr="00404DE5">
        <w:t xml:space="preserve"> </w:t>
      </w:r>
    </w:p>
    <w:p w14:paraId="57AC62DB" w14:textId="77777777" w:rsidR="00B94B4F" w:rsidRDefault="00B94B4F" w:rsidP="00B94B4F">
      <w:pPr>
        <w:spacing w:before="69"/>
        <w:ind w:left="93" w:right="-20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</w:t>
      </w:r>
    </w:p>
    <w:p w14:paraId="7C941708" w14:textId="6BE9A866" w:rsidR="00B94B4F" w:rsidRPr="00BD5BF3" w:rsidRDefault="00B94B4F" w:rsidP="00BD5BF3">
      <w:pPr>
        <w:spacing w:before="69"/>
        <w:ind w:left="93" w:right="-20"/>
        <w:rPr>
          <w:rFonts w:eastAsia="Candara"/>
        </w:rPr>
      </w:pP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</w:p>
    <w:p w14:paraId="58448677" w14:textId="77777777" w:rsidR="00B94B4F" w:rsidRDefault="00B94B4F" w:rsidP="00B94B4F">
      <w:pPr>
        <w:ind w:left="4956" w:firstLine="709"/>
      </w:pPr>
      <w:r w:rsidRPr="00404DE5">
        <w:t xml:space="preserve"> </w:t>
      </w:r>
      <w:r>
        <w:tab/>
      </w:r>
      <w:r w:rsidRPr="00404DE5">
        <w:t>İmza</w:t>
      </w:r>
      <w:r>
        <w:t xml:space="preserve">            </w:t>
      </w:r>
      <w:r w:rsidRPr="00404DE5">
        <w:tab/>
      </w:r>
      <w:r w:rsidRPr="00404DE5">
        <w:tab/>
      </w:r>
    </w:p>
    <w:p w14:paraId="57E7671C" w14:textId="7DEE3861" w:rsidR="00B94B4F" w:rsidRDefault="00B94B4F" w:rsidP="00B94B4F">
      <w:pPr>
        <w:ind w:left="4956" w:firstLine="709"/>
      </w:pPr>
      <w:r w:rsidRPr="00822C19">
        <w:tab/>
      </w:r>
    </w:p>
    <w:p w14:paraId="636B7BE1" w14:textId="77777777" w:rsidR="00B94B4F" w:rsidRDefault="00B94B4F" w:rsidP="00B94B4F">
      <w:pPr>
        <w:ind w:left="4956" w:firstLine="709"/>
      </w:pPr>
    </w:p>
    <w:p w14:paraId="2D7C575B" w14:textId="77777777" w:rsidR="00B94B4F" w:rsidRDefault="00B94B4F" w:rsidP="00B94B4F">
      <w:pPr>
        <w:ind w:left="4956" w:firstLine="709"/>
      </w:pPr>
    </w:p>
    <w:p w14:paraId="16301820" w14:textId="77777777" w:rsidR="00B94B4F" w:rsidRDefault="00B94B4F" w:rsidP="00B94B4F">
      <w:pPr>
        <w:ind w:left="4956" w:firstLine="709"/>
      </w:pPr>
    </w:p>
    <w:p w14:paraId="22C732F7" w14:textId="77777777" w:rsidR="00BD5BF3" w:rsidRDefault="00BD5BF3" w:rsidP="00B94B4F">
      <w:pPr>
        <w:ind w:left="4956" w:firstLine="709"/>
      </w:pPr>
      <w:bookmarkStart w:id="1" w:name="_GoBack"/>
      <w:bookmarkEnd w:id="1"/>
    </w:p>
    <w:p w14:paraId="0EDA03AA" w14:textId="77777777" w:rsidR="00BD5BF3" w:rsidRDefault="00BD5BF3" w:rsidP="00B94B4F">
      <w:pPr>
        <w:ind w:left="4956" w:firstLine="709"/>
      </w:pPr>
    </w:p>
    <w:p w14:paraId="685331CF" w14:textId="77777777" w:rsidR="00BD5BF3" w:rsidRDefault="00BD5BF3" w:rsidP="00B94B4F">
      <w:pPr>
        <w:ind w:left="4956" w:firstLine="709"/>
      </w:pPr>
    </w:p>
    <w:p w14:paraId="4E1A43D7" w14:textId="019FBE46" w:rsidR="00B94B4F" w:rsidRPr="00822C19" w:rsidRDefault="00B94B4F" w:rsidP="00B94B4F">
      <w:pPr>
        <w:ind w:left="4956" w:firstLine="709"/>
      </w:pPr>
      <w:r w:rsidRPr="00822C19">
        <w:tab/>
      </w:r>
      <w:r w:rsidRPr="00822C19">
        <w:tab/>
      </w:r>
      <w:r w:rsidRPr="00822C19">
        <w:tab/>
      </w:r>
    </w:p>
    <w:p w14:paraId="60A95C21" w14:textId="77777777" w:rsidR="00B94B4F" w:rsidRPr="00822C19" w:rsidRDefault="00B94B4F" w:rsidP="00B94B4F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B94B4F" w:rsidRPr="00404DE5" w14:paraId="0DAC7E2C" w14:textId="77777777" w:rsidTr="00163D74">
        <w:trPr>
          <w:trHeight w:val="274"/>
        </w:trPr>
        <w:tc>
          <w:tcPr>
            <w:tcW w:w="2405" w:type="dxa"/>
          </w:tcPr>
          <w:p w14:paraId="5C4053B3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2AD7E194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36F5C5A8" w14:textId="088DE9D8" w:rsidR="00B94B4F" w:rsidRDefault="00B94B4F" w:rsidP="00D77212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 Veren Öğretim </w:t>
            </w:r>
            <w:r w:rsidR="00D77212">
              <w:rPr>
                <w:b/>
              </w:rPr>
              <w:t>Elemanı</w:t>
            </w:r>
          </w:p>
        </w:tc>
      </w:tr>
      <w:tr w:rsidR="00B94B4F" w:rsidRPr="00404DE5" w14:paraId="4A786B16" w14:textId="77777777" w:rsidTr="00163D74">
        <w:trPr>
          <w:trHeight w:val="761"/>
        </w:trPr>
        <w:tc>
          <w:tcPr>
            <w:tcW w:w="2405" w:type="dxa"/>
          </w:tcPr>
          <w:p w14:paraId="2D71240B" w14:textId="77777777" w:rsidR="00B94B4F" w:rsidRDefault="00B94B4F" w:rsidP="00163D74"/>
          <w:p w14:paraId="68808D77" w14:textId="77777777" w:rsidR="00B94B4F" w:rsidRDefault="00B94B4F" w:rsidP="00163D74"/>
          <w:p w14:paraId="26BFF569" w14:textId="77777777" w:rsidR="00B94B4F" w:rsidRDefault="00B94B4F" w:rsidP="00163D74"/>
          <w:p w14:paraId="2D367531" w14:textId="77777777" w:rsidR="00B94B4F" w:rsidRDefault="00B94B4F" w:rsidP="00163D74"/>
          <w:p w14:paraId="1D3AAD8C" w14:textId="77777777" w:rsidR="00B94B4F" w:rsidRPr="00404DE5" w:rsidRDefault="00B94B4F" w:rsidP="00163D74"/>
        </w:tc>
        <w:tc>
          <w:tcPr>
            <w:tcW w:w="4118" w:type="dxa"/>
          </w:tcPr>
          <w:p w14:paraId="6F20980B" w14:textId="77777777" w:rsidR="00B94B4F" w:rsidRDefault="00B94B4F" w:rsidP="00163D74"/>
          <w:p w14:paraId="5075C313" w14:textId="77777777" w:rsidR="00B94B4F" w:rsidRDefault="00B94B4F" w:rsidP="00163D74"/>
          <w:p w14:paraId="50C98B17" w14:textId="77777777" w:rsidR="00B94B4F" w:rsidRPr="00404DE5" w:rsidRDefault="00B94B4F" w:rsidP="00163D74"/>
        </w:tc>
        <w:tc>
          <w:tcPr>
            <w:tcW w:w="4118" w:type="dxa"/>
          </w:tcPr>
          <w:p w14:paraId="5EE9CD5E" w14:textId="77777777" w:rsidR="00B94B4F" w:rsidRPr="00404DE5" w:rsidRDefault="00B94B4F" w:rsidP="00163D74"/>
        </w:tc>
      </w:tr>
    </w:tbl>
    <w:p w14:paraId="08B0FFF7" w14:textId="77777777" w:rsidR="000E7FA3" w:rsidRPr="008678AE" w:rsidRDefault="000E7FA3" w:rsidP="000E7FA3"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4449C" wp14:editId="6498DD6D">
                <wp:simplePos x="0" y="0"/>
                <wp:positionH relativeFrom="margin">
                  <wp:posOffset>-438785</wp:posOffset>
                </wp:positionH>
                <wp:positionV relativeFrom="paragraph">
                  <wp:posOffset>239395</wp:posOffset>
                </wp:positionV>
                <wp:extent cx="6694805" cy="2038350"/>
                <wp:effectExtent l="0" t="0" r="10795" b="1905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3AAB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İLGİLİ YÖNETMELİK MADDESİ</w:t>
                            </w:r>
                          </w:p>
                          <w:p w14:paraId="775EB53E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ARDAHAN ÜNİVERSİTESİ ÖNLİSANS- LİSANS EĞİTİM-ÖĞRETİM VE SINAV YÖNETMELİĞİ</w:t>
                            </w:r>
                          </w:p>
                          <w:p w14:paraId="075C06EF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82B897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14:paraId="61F07AC8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MADDE 34 –</w:t>
                            </w: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(1) Mezuniyeti için azami öğrenim süresini kullanmamış öğrencilerden, devam şartını yerine getirmiş olduğu tek dersten sorumluluğu kalan veya mezuniyeti için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GNO’sunun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olma şartı hariç, tüm gerekleri yerine getirmiş öğrencilere; bu sınav sonucu alacağı notun katkısıyla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düzeyine çekebilecek durumda olması koşuluyla, yarıyıl/yıl sonunda yalnızca bir dersten tek ders sınav hakkı tanınır. Tek ders sınav günü akademik takvimde belirtilir.</w:t>
                            </w:r>
                          </w:p>
                          <w:p w14:paraId="61A3234B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      </w:r>
                          </w:p>
                          <w:p w14:paraId="4A8DEFE1" w14:textId="77777777" w:rsidR="000E7FA3" w:rsidRPr="00385D8C" w:rsidRDefault="000E7FA3" w:rsidP="000E7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4.55pt;margin-top:18.85pt;width:527.1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">
                <v:textbox>
                  <w:txbxContent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İLGİLİ YÖNETMELİK MADDESİ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ARDAHAN ÜNİVERSİTESİ ÖNLİSANS- LİSANS EĞİTİM-ÖĞRETİM VE SINAV YÖNETMELİĞİ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Tek ders sınavı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MADDE 34 –</w:t>
                      </w: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(1) Mezuniyeti için azami öğrenim süresini kullanmamış öğrencilerden, devam şartını yerine getirmiş olduğu tek dersten sorumluluğu kalan veya mezuniyeti için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GNO’sunun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olma şartı hariç, tüm gerekleri yerine getirmiş öğrencilere; bu sınav sonucu alacağı notun katkısıyla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düzeyine çekebilecek durumda olması koşuluyla, yarıyıl/yıl sonunda yalnızca bir dersten tek ders sınav hakkı tanınır. Tek ders sınav günü akademik takvimde belirtilir.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</w:r>
                    </w:p>
                    <w:p w:rsidR="000E7FA3" w:rsidRPr="00385D8C" w:rsidRDefault="000E7FA3" w:rsidP="000E7FA3">
                      <w:pPr>
                        <w:rPr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85976" w14:textId="77777777" w:rsidR="00054E9E" w:rsidRDefault="00054E9E"/>
    <w:sectPr w:rsidR="00054E9E" w:rsidSect="00CC6E4D">
      <w:head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A2258" w14:textId="77777777" w:rsidR="00172F70" w:rsidRDefault="00172F70" w:rsidP="000E7FA3">
      <w:r>
        <w:separator/>
      </w:r>
    </w:p>
  </w:endnote>
  <w:endnote w:type="continuationSeparator" w:id="0">
    <w:p w14:paraId="49D1896B" w14:textId="77777777" w:rsidR="00172F70" w:rsidRDefault="00172F70" w:rsidP="000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58925" w14:textId="77777777" w:rsidR="00172F70" w:rsidRDefault="00172F70" w:rsidP="000E7FA3">
      <w:r>
        <w:separator/>
      </w:r>
    </w:p>
  </w:footnote>
  <w:footnote w:type="continuationSeparator" w:id="0">
    <w:p w14:paraId="7BF038ED" w14:textId="77777777" w:rsidR="00172F70" w:rsidRDefault="00172F70" w:rsidP="000E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0322B" w14:textId="77777777" w:rsidR="00844CBF" w:rsidRPr="00D3157C" w:rsidRDefault="005D1FD8">
    <w:pPr>
      <w:pStyle w:val="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CC"/>
    <w:rsid w:val="00054E9E"/>
    <w:rsid w:val="000E7FA3"/>
    <w:rsid w:val="00125FB5"/>
    <w:rsid w:val="00172F70"/>
    <w:rsid w:val="00301003"/>
    <w:rsid w:val="00385D8C"/>
    <w:rsid w:val="00493823"/>
    <w:rsid w:val="00570643"/>
    <w:rsid w:val="005D1FD8"/>
    <w:rsid w:val="006464B6"/>
    <w:rsid w:val="007E7BD3"/>
    <w:rsid w:val="00844CBF"/>
    <w:rsid w:val="00914A82"/>
    <w:rsid w:val="009874A1"/>
    <w:rsid w:val="009A4225"/>
    <w:rsid w:val="00AC10CC"/>
    <w:rsid w:val="00B41E26"/>
    <w:rsid w:val="00B94B4F"/>
    <w:rsid w:val="00BD5BF3"/>
    <w:rsid w:val="00CD6C90"/>
    <w:rsid w:val="00CE2408"/>
    <w:rsid w:val="00D77212"/>
    <w:rsid w:val="00E57E1F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14"/>
  <w15:chartTrackingRefBased/>
  <w15:docId w15:val="{0565B1B9-2A65-4CF2-BD39-2667DB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0E7FA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7FA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a">
    <w:basedOn w:val="Normal"/>
    <w:next w:val="stBilgi"/>
    <w:rsid w:val="000E7FA3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0E7FA3"/>
    <w:pPr>
      <w:widowControl w:val="0"/>
      <w:spacing w:after="120"/>
    </w:pPr>
    <w:rPr>
      <w:rFonts w:eastAsia="Lucida Sans Unicode"/>
      <w:kern w:val="1"/>
    </w:rPr>
  </w:style>
  <w:style w:type="character" w:customStyle="1" w:styleId="GvdeMetniChar">
    <w:name w:val="Gövde Metni Char"/>
    <w:basedOn w:val="VarsaylanParagrafYazTipi"/>
    <w:link w:val="GvdeMetni"/>
    <w:rsid w:val="000E7F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7E7B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4</cp:revision>
  <dcterms:created xsi:type="dcterms:W3CDTF">2026-01-19T11:33:00Z</dcterms:created>
  <dcterms:modified xsi:type="dcterms:W3CDTF">2026-01-19T12:49:00Z</dcterms:modified>
</cp:coreProperties>
</file>